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396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426"/>
        <w:gridCol w:w="5669"/>
        <w:gridCol w:w="1417"/>
        <w:gridCol w:w="1419"/>
        <w:gridCol w:w="1418"/>
      </w:tblGrid>
      <w:tr>
        <w:tblPrEx/>
        <w:trPr>
          <w:trHeight w:val="992"/>
        </w:trPr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349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Расчет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налога на добычу общераспространенных полезных ископаемых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областной бюджет на 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–20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годы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(КБК 107 01020 01 0000 110)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Style w:val="84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842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pStyle w:val="842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842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1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Облагаемая налогом стоимость добытых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полезных ископаемых по ставке 5,5 %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(тыс. рублей)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2 449 825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3 861 140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6 530 073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2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iCs/>
                <w:color w:val="000000"/>
                <w:sz w:val="28"/>
                <w:szCs w:val="28"/>
              </w:rPr>
            </w:r>
            <w:r>
              <w:rPr>
                <w:i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4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Глина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505 237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</w:pPr>
            <w:r>
              <w:rPr>
                <w:sz w:val="28"/>
                <w:szCs w:val="28"/>
              </w:rPr>
              <w:t xml:space="preserve">  609 907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</w:pPr>
            <w:r>
              <w:rPr>
                <w:sz w:val="28"/>
                <w:szCs w:val="28"/>
              </w:rPr>
              <w:t xml:space="preserve">728 849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Песок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350 727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388 627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478 265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1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ПГС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1 585 417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2 852 214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5 312 567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Облицовочный камень</w:t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  <w:t xml:space="preserve">8 </w:t>
            </w:r>
            <w:r>
              <w:rPr>
                <w:sz w:val="28"/>
                <w:szCs w:val="28"/>
                <w:highlight w:val="none"/>
              </w:rPr>
              <w:t xml:space="preserve">444</w:t>
            </w:r>
            <w:r>
              <w:rPr>
                <w:sz w:val="28"/>
                <w:szCs w:val="28"/>
                <w:highlight w:val="yellow"/>
              </w:rPr>
              <w:t xml:space="preserve">  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10 392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10 392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vMerge w:val="restart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vMerge w:val="restart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vMerge w:val="restart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 (%)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по ставке 5,5 % (тыс. рублей)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134 740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212 363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359 154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 отчислений в областной бюджет (%) 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</w:t>
            </w:r>
            <w:r>
              <w:rPr>
                <w:color w:val="000000"/>
                <w:sz w:val="28"/>
                <w:szCs w:val="28"/>
              </w:rPr>
              <w:t xml:space="preserve">,</w:t>
            </w:r>
            <w:r>
              <w:rPr>
                <w:color w:val="000000"/>
                <w:sz w:val="28"/>
                <w:szCs w:val="28"/>
              </w:rPr>
              <w:t xml:space="preserve"> подлежащая зачислению в обл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стной бюджет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134 740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212 363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359 154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00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Прогнозируемый объем добычи щебня (т.)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6 495 095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6 500 426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6 601 367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color w:val="000000"/>
                <w:sz w:val="28"/>
                <w:szCs w:val="28"/>
                <w:highlight w:val="yellow"/>
                <w:lang w:val="en-US"/>
              </w:rPr>
            </w:r>
            <w:r>
              <w:rPr>
                <w:color w:val="000000"/>
                <w:sz w:val="28"/>
                <w:szCs w:val="28"/>
                <w:highlight w:val="yellow"/>
                <w:lang w:val="en-US"/>
              </w:rPr>
            </w:r>
            <w:r>
              <w:rPr>
                <w:color w:val="000000"/>
                <w:sz w:val="28"/>
                <w:szCs w:val="28"/>
                <w:highlight w:val="yellow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36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</w:pPr>
            <w:r>
              <w:rPr>
                <w:color w:val="000000"/>
                <w:sz w:val="28"/>
                <w:szCs w:val="28"/>
              </w:rPr>
              <w:t xml:space="preserve">7.</w:t>
            </w:r>
            <w:r>
              <w:rPr>
                <w:color w:val="000000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Число, установленное в соответствии с НК РФ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6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(щебень)</w:t>
            </w:r>
            <w:r>
              <w:rPr>
                <w:color w:val="000000"/>
                <w:sz w:val="28"/>
                <w:szCs w:val="28"/>
              </w:rPr>
              <w:t xml:space="preserve"> (тыс. рублей)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107 169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107 257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108 923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 отчислений в областной бюджет (%) 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налога, подлежащая зачислению в обл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стной бюджет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107 169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107 257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108 923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vMerge w:val="restart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F</w:t>
            </w:r>
            <w:r>
              <w:rPr>
                <w:color w:val="000000"/>
                <w:sz w:val="28"/>
                <w:szCs w:val="28"/>
                <w:highlight w:val="none"/>
              </w:rPr>
              <w:t xml:space="preserve"> (уплата задолженности организациями, которые уплачивают начисления по текущим декларациям через один-два месяца)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2 524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264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43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6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Всего сумма налога, подлежащая зачислению в обл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стной бюджет (тыс. рублей)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244 433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9" w:type="dxa"/>
            <w:vAlign w:val="top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319 884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18" w:type="dxa"/>
            <w:vAlign w:val="top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468 077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r>
        <w:rPr>
          <w:highlight w:val="none"/>
        </w:rPr>
      </w:r>
      <w:r>
        <w:rPr>
          <w:highlight w:val="none"/>
        </w:rPr>
      </w:r>
      <w:r/>
    </w:p>
    <w:p>
      <w:pPr>
        <w:rPr>
          <w:highlight w:val="none"/>
        </w:rPr>
      </w:pPr>
      <w:r/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567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4"/>
      <w:numFmt w:val="decimal"/>
      <w:isLgl w:val="false"/>
      <w:suff w:val="tab"/>
      <w:lvlText w:val="%1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link w:val="696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next w:val="842"/>
    <w:link w:val="842"/>
    <w:qFormat/>
    <w:rPr>
      <w:sz w:val="24"/>
      <w:szCs w:val="24"/>
      <w:lang w:val="ru-RU" w:eastAsia="ru-RU" w:bidi="ar-SA"/>
    </w:rPr>
  </w:style>
  <w:style w:type="character" w:styleId="843">
    <w:name w:val="Основной шрифт абзаца"/>
    <w:next w:val="843"/>
    <w:link w:val="842"/>
    <w:semiHidden/>
  </w:style>
  <w:style w:type="table" w:styleId="844">
    <w:name w:val="Обычная таблица"/>
    <w:next w:val="844"/>
    <w:link w:val="842"/>
    <w:semiHidden/>
    <w:tblPr/>
  </w:style>
  <w:style w:type="numbering" w:styleId="845">
    <w:name w:val="Нет списка"/>
    <w:next w:val="845"/>
    <w:link w:val="842"/>
    <w:semiHidden/>
  </w:style>
  <w:style w:type="paragraph" w:styleId="846">
    <w:name w:val="Текст выноски"/>
    <w:basedOn w:val="842"/>
    <w:next w:val="846"/>
    <w:link w:val="847"/>
    <w:rPr>
      <w:rFonts w:ascii="Segoe UI" w:hAnsi="Segoe UI" w:cs="Segoe UI"/>
      <w:sz w:val="18"/>
      <w:szCs w:val="18"/>
    </w:rPr>
  </w:style>
  <w:style w:type="character" w:styleId="847">
    <w:name w:val="Текст выноски Знак"/>
    <w:next w:val="847"/>
    <w:link w:val="846"/>
    <w:rPr>
      <w:rFonts w:ascii="Segoe UI" w:hAnsi="Segoe UI" w:cs="Segoe UI"/>
      <w:sz w:val="18"/>
      <w:szCs w:val="18"/>
    </w:rPr>
  </w:style>
  <w:style w:type="paragraph" w:styleId="848">
    <w:name w:val="Верхний колонтитул"/>
    <w:basedOn w:val="842"/>
    <w:next w:val="848"/>
    <w:link w:val="849"/>
    <w:pPr>
      <w:tabs>
        <w:tab w:val="center" w:pos="4677" w:leader="none"/>
        <w:tab w:val="right" w:pos="9355" w:leader="none"/>
      </w:tabs>
    </w:pPr>
  </w:style>
  <w:style w:type="character" w:styleId="849">
    <w:name w:val="Верхний колонтитул Знак"/>
    <w:next w:val="849"/>
    <w:link w:val="848"/>
    <w:rPr>
      <w:sz w:val="24"/>
      <w:szCs w:val="24"/>
    </w:rPr>
  </w:style>
  <w:style w:type="paragraph" w:styleId="850">
    <w:name w:val="Нижний колонтитул"/>
    <w:basedOn w:val="842"/>
    <w:next w:val="850"/>
    <w:link w:val="851"/>
    <w:pPr>
      <w:tabs>
        <w:tab w:val="center" w:pos="4677" w:leader="none"/>
        <w:tab w:val="right" w:pos="9355" w:leader="none"/>
      </w:tabs>
    </w:pPr>
  </w:style>
  <w:style w:type="character" w:styleId="851">
    <w:name w:val="Нижний колонтитул Знак"/>
    <w:next w:val="851"/>
    <w:link w:val="850"/>
    <w:rPr>
      <w:sz w:val="24"/>
      <w:szCs w:val="24"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mb1</dc:creator>
  <cp:lastModifiedBy>rti</cp:lastModifiedBy>
  <cp:revision>99</cp:revision>
  <dcterms:created xsi:type="dcterms:W3CDTF">2017-08-15T09:36:00Z</dcterms:created>
  <dcterms:modified xsi:type="dcterms:W3CDTF">2025-10-10T11:41:35Z</dcterms:modified>
  <cp:version>1048576</cp:version>
</cp:coreProperties>
</file>